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1D9" w:rsidRPr="00176361" w:rsidRDefault="006F2DE5" w:rsidP="004F6459">
      <w:pPr>
        <w:spacing w:line="400" w:lineRule="exact"/>
        <w:ind w:leftChars="60" w:left="637" w:hangingChars="176" w:hanging="493"/>
        <w:jc w:val="center"/>
        <w:rPr>
          <w:rFonts w:ascii="華康特粗楷體(P)" w:eastAsia="華康特粗楷體(P)" w:hAnsi="華康特粗楷體(P)"/>
          <w:b/>
          <w:color w:val="000000"/>
          <w:sz w:val="28"/>
          <w:szCs w:val="28"/>
        </w:rPr>
      </w:pPr>
      <w:r>
        <w:rPr>
          <w:rFonts w:ascii="華康特粗楷體(P)" w:eastAsia="華康特粗楷體(P)" w:hAnsi="華康特粗楷體(P)" w:hint="eastAsia"/>
          <w:b/>
          <w:color w:val="000000"/>
          <w:sz w:val="28"/>
          <w:szCs w:val="28"/>
        </w:rPr>
        <w:t xml:space="preserve"> </w:t>
      </w:r>
      <w:r w:rsidR="00176361" w:rsidRPr="00176361">
        <w:rPr>
          <w:rFonts w:ascii="華康特粗楷體(P)" w:eastAsia="華康特粗楷體(P)" w:hAnsi="華康特粗楷體(P)" w:hint="eastAsia"/>
          <w:b/>
          <w:color w:val="000000"/>
          <w:sz w:val="28"/>
          <w:szCs w:val="28"/>
        </w:rPr>
        <w:t>弘光科技大學體育教學中心</w:t>
      </w:r>
      <w:r w:rsidR="006621D9" w:rsidRPr="00176361">
        <w:rPr>
          <w:rFonts w:ascii="華康特粗楷體(P)" w:eastAsia="華康特粗楷體(P)" w:hAnsi="華康特粗楷體(P)" w:hint="eastAsia"/>
          <w:b/>
          <w:color w:val="000000"/>
          <w:sz w:val="28"/>
          <w:szCs w:val="28"/>
        </w:rPr>
        <w:t>課程發展機制作業</w:t>
      </w:r>
      <w:r w:rsidR="00887EC5" w:rsidRPr="00176361">
        <w:rPr>
          <w:rFonts w:ascii="華康特粗楷體(P)" w:eastAsia="華康特粗楷體(P)" w:hAnsi="華康特粗楷體(P)" w:hint="eastAsia"/>
          <w:b/>
          <w:color w:val="000000"/>
          <w:sz w:val="28"/>
          <w:szCs w:val="28"/>
        </w:rPr>
        <w:t>程序</w:t>
      </w:r>
    </w:p>
    <w:p w:rsidR="0006455F" w:rsidRPr="0099374D" w:rsidRDefault="00887EC5" w:rsidP="00887EC5">
      <w:pPr>
        <w:spacing w:line="400" w:lineRule="exact"/>
        <w:ind w:leftChars="260" w:left="976" w:hangingChars="176" w:hanging="352"/>
        <w:jc w:val="right"/>
        <w:rPr>
          <w:rFonts w:ascii="Times New Roman" w:eastAsia="標楷體" w:hAnsi="Times New Roman"/>
          <w:color w:val="000000"/>
          <w:sz w:val="20"/>
          <w:szCs w:val="20"/>
        </w:rPr>
      </w:pPr>
      <w:r w:rsidRPr="00887EC5">
        <w:rPr>
          <w:rFonts w:ascii="Times New Roman" w:eastAsia="標楷體" w:hAnsi="Times New Roman"/>
          <w:color w:val="000000"/>
          <w:sz w:val="20"/>
          <w:szCs w:val="20"/>
        </w:rPr>
        <w:t>中華民國</w:t>
      </w:r>
      <w:r w:rsidR="0099374D" w:rsidRPr="0099374D">
        <w:rPr>
          <w:rFonts w:ascii="Times New Roman" w:eastAsia="標楷體" w:hAnsi="Times New Roman" w:hint="eastAsia"/>
          <w:color w:val="000000"/>
          <w:sz w:val="20"/>
          <w:szCs w:val="20"/>
        </w:rPr>
        <w:t>1</w:t>
      </w:r>
      <w:r w:rsidR="0099374D" w:rsidRPr="0099374D">
        <w:rPr>
          <w:rFonts w:ascii="Times New Roman" w:eastAsia="標楷體" w:hAnsi="Times New Roman"/>
          <w:color w:val="000000"/>
          <w:sz w:val="20"/>
          <w:szCs w:val="20"/>
        </w:rPr>
        <w:t>12</w:t>
      </w:r>
      <w:r w:rsidRPr="00887EC5">
        <w:rPr>
          <w:rFonts w:ascii="Times New Roman" w:eastAsia="標楷體" w:hAnsi="Times New Roman"/>
          <w:color w:val="000000"/>
          <w:sz w:val="20"/>
          <w:szCs w:val="20"/>
        </w:rPr>
        <w:t>年</w:t>
      </w:r>
      <w:r w:rsidR="00176361">
        <w:rPr>
          <w:rFonts w:ascii="Times New Roman" w:eastAsia="標楷體" w:hAnsi="Times New Roman" w:hint="eastAsia"/>
          <w:color w:val="000000"/>
          <w:sz w:val="20"/>
          <w:szCs w:val="20"/>
        </w:rPr>
        <w:t>9</w:t>
      </w:r>
      <w:r w:rsidRPr="00887EC5">
        <w:rPr>
          <w:rFonts w:ascii="Times New Roman" w:eastAsia="標楷體" w:hAnsi="Times New Roman"/>
          <w:color w:val="000000"/>
          <w:sz w:val="20"/>
          <w:szCs w:val="20"/>
        </w:rPr>
        <w:t>月</w:t>
      </w:r>
      <w:r w:rsidR="00176361">
        <w:rPr>
          <w:rFonts w:ascii="Times New Roman" w:eastAsia="標楷體" w:hAnsi="Times New Roman" w:hint="eastAsia"/>
          <w:color w:val="000000"/>
          <w:sz w:val="20"/>
          <w:szCs w:val="20"/>
        </w:rPr>
        <w:t>14</w:t>
      </w:r>
      <w:r w:rsidRPr="00887EC5">
        <w:rPr>
          <w:rFonts w:ascii="Times New Roman" w:eastAsia="標楷體" w:hAnsi="Times New Roman"/>
          <w:color w:val="000000"/>
          <w:sz w:val="20"/>
          <w:szCs w:val="20"/>
        </w:rPr>
        <w:t>日</w:t>
      </w:r>
      <w:r w:rsidR="00176361" w:rsidRPr="00840C39">
        <w:rPr>
          <w:rFonts w:ascii="Times New Roman" w:eastAsia="標楷體" w:hAnsi="Times New Roman" w:hint="eastAsia"/>
          <w:color w:val="000000"/>
          <w:sz w:val="20"/>
          <w:szCs w:val="20"/>
        </w:rPr>
        <w:t>體育教學中心</w:t>
      </w:r>
      <w:r w:rsidR="004F6F43" w:rsidRPr="0099374D">
        <w:rPr>
          <w:rFonts w:ascii="Times New Roman" w:eastAsia="標楷體" w:hAnsi="Times New Roman"/>
          <w:color w:val="000000"/>
          <w:sz w:val="20"/>
          <w:szCs w:val="20"/>
        </w:rPr>
        <w:t>中心</w:t>
      </w:r>
      <w:r w:rsidRPr="00887EC5">
        <w:rPr>
          <w:rFonts w:ascii="Times New Roman" w:eastAsia="標楷體" w:hAnsi="Times New Roman"/>
          <w:color w:val="000000"/>
          <w:sz w:val="20"/>
          <w:szCs w:val="20"/>
        </w:rPr>
        <w:t>會議訂定通過</w:t>
      </w:r>
    </w:p>
    <w:p w:rsidR="006621D9" w:rsidRPr="006621D9" w:rsidRDefault="006621D9" w:rsidP="004F6459">
      <w:pPr>
        <w:pStyle w:val="a3"/>
        <w:numPr>
          <w:ilvl w:val="0"/>
          <w:numId w:val="2"/>
        </w:numPr>
        <w:spacing w:line="400" w:lineRule="exact"/>
        <w:ind w:leftChars="0"/>
        <w:rPr>
          <w:rFonts w:eastAsia="標楷體" w:hAnsi="標楷體"/>
          <w:color w:val="000000"/>
        </w:rPr>
      </w:pPr>
      <w:r w:rsidRPr="006621D9">
        <w:rPr>
          <w:rFonts w:eastAsia="標楷體" w:hAnsi="標楷體"/>
          <w:color w:val="000000"/>
        </w:rPr>
        <w:t>課程發展歷程須考量要素</w:t>
      </w:r>
      <w:r w:rsidRPr="006621D9">
        <w:rPr>
          <w:rFonts w:ascii="新細明體" w:hAnsi="新細明體" w:hint="eastAsia"/>
          <w:color w:val="000000"/>
        </w:rPr>
        <w:t>：</w:t>
      </w:r>
      <w:r w:rsidR="00E9112B">
        <w:rPr>
          <w:rFonts w:eastAsia="標楷體" w:hAnsi="標楷體" w:hint="eastAsia"/>
          <w:color w:val="000000"/>
        </w:rPr>
        <w:t>通識教育中心</w:t>
      </w:r>
      <w:r w:rsidRPr="006621D9">
        <w:rPr>
          <w:rFonts w:eastAsia="標楷體" w:hAnsi="標楷體"/>
          <w:color w:val="000000"/>
        </w:rPr>
        <w:t>（</w:t>
      </w:r>
      <w:r w:rsidRPr="006621D9">
        <w:rPr>
          <w:rFonts w:eastAsia="標楷體" w:hAnsi="標楷體"/>
        </w:rPr>
        <w:t>以下簡稱本</w:t>
      </w:r>
      <w:r w:rsidR="00E9112B">
        <w:rPr>
          <w:rFonts w:eastAsia="標楷體" w:hAnsi="標楷體"/>
        </w:rPr>
        <w:t>中心</w:t>
      </w:r>
      <w:r w:rsidRPr="006621D9">
        <w:rPr>
          <w:rFonts w:eastAsia="標楷體" w:hAnsi="標楷體"/>
        </w:rPr>
        <w:t>）發</w:t>
      </w:r>
      <w:r w:rsidRPr="006621D9">
        <w:rPr>
          <w:rFonts w:eastAsia="標楷體" w:hAnsi="標楷體"/>
          <w:color w:val="000000"/>
        </w:rPr>
        <w:t>展課程時，至少須依序考量教育目標、核心能力、課程內容、課程組織架構、科目開設順序、課程簡介、教學大綱、教學品質管控與提昇、實習輔導、學生選課輔導及課程評鑑等要素。</w:t>
      </w:r>
    </w:p>
    <w:p w:rsidR="006621D9" w:rsidRPr="006621D9" w:rsidRDefault="006621D9" w:rsidP="004F6459">
      <w:pPr>
        <w:pStyle w:val="a3"/>
        <w:numPr>
          <w:ilvl w:val="2"/>
          <w:numId w:val="4"/>
        </w:numPr>
        <w:spacing w:line="400" w:lineRule="exact"/>
        <w:ind w:leftChars="0" w:hanging="873"/>
        <w:rPr>
          <w:rFonts w:eastAsia="標楷體" w:hAnsi="標楷體"/>
        </w:rPr>
      </w:pPr>
      <w:r w:rsidRPr="006621D9">
        <w:rPr>
          <w:rFonts w:eastAsia="標楷體" w:hAnsi="標楷體"/>
        </w:rPr>
        <w:t>教育目標：旨在做為本</w:t>
      </w:r>
      <w:r w:rsidR="00E9112B">
        <w:rPr>
          <w:rFonts w:eastAsia="標楷體" w:hAnsi="標楷體"/>
        </w:rPr>
        <w:t>中心</w:t>
      </w:r>
      <w:r w:rsidRPr="006621D9">
        <w:rPr>
          <w:rFonts w:eastAsia="標楷體" w:hAnsi="標楷體"/>
        </w:rPr>
        <w:t>辦學方向與課程安排之依偱。其訂定，須考量弘光科技大學（以下簡稱本校）</w:t>
      </w:r>
      <w:r w:rsidRPr="006621D9">
        <w:rPr>
          <w:rFonts w:eastAsia="標楷體" w:hAnsi="標楷體"/>
          <w:color w:val="000000"/>
        </w:rPr>
        <w:t>之辦學理</w:t>
      </w:r>
      <w:r w:rsidRPr="006621D9">
        <w:rPr>
          <w:rFonts w:eastAsia="標楷體" w:hAnsi="標楷體"/>
        </w:rPr>
        <w:t>念與方向、政府機關所頒布之相關法規與政策、業界需求或社會發展趨勢，以及學生背景與經驗等因素，並具特色，且能與國內技職體系院校類似科系有所區隔。</w:t>
      </w:r>
    </w:p>
    <w:p w:rsidR="006621D9" w:rsidRPr="006621D9" w:rsidRDefault="00753CA3" w:rsidP="004F6459">
      <w:pPr>
        <w:pStyle w:val="a3"/>
        <w:numPr>
          <w:ilvl w:val="2"/>
          <w:numId w:val="4"/>
        </w:numPr>
        <w:spacing w:line="400" w:lineRule="exact"/>
        <w:ind w:leftChars="0" w:hanging="873"/>
        <w:rPr>
          <w:rFonts w:eastAsia="標楷體" w:hAnsi="標楷體"/>
        </w:rPr>
      </w:pPr>
      <w:r>
        <w:rPr>
          <w:rFonts w:eastAsia="標楷體" w:hAnsi="標楷體"/>
        </w:rPr>
        <w:t>核心能力：指預期本中心</w:t>
      </w:r>
      <w:r w:rsidR="006621D9" w:rsidRPr="006621D9">
        <w:rPr>
          <w:rFonts w:eastAsia="標楷體" w:hAnsi="標楷體"/>
        </w:rPr>
        <w:t>畢業學生應具備的核心能力，為教育目標的具體轉化，旨在作為課程內容選擇之依據。本</w:t>
      </w:r>
      <w:r>
        <w:rPr>
          <w:rFonts w:eastAsia="標楷體" w:hAnsi="標楷體"/>
        </w:rPr>
        <w:t>中心</w:t>
      </w:r>
      <w:r w:rsidR="006621D9" w:rsidRPr="006621D9">
        <w:rPr>
          <w:rFonts w:eastAsia="標楷體" w:hAnsi="標楷體"/>
        </w:rPr>
        <w:t>在完成教育目標之訂定或修訂後，須將其轉化為具體的核心能力。</w:t>
      </w:r>
    </w:p>
    <w:p w:rsidR="006621D9" w:rsidRPr="006621D9" w:rsidRDefault="006621D9" w:rsidP="004F6459">
      <w:pPr>
        <w:pStyle w:val="a3"/>
        <w:numPr>
          <w:ilvl w:val="2"/>
          <w:numId w:val="4"/>
        </w:numPr>
        <w:spacing w:line="400" w:lineRule="exact"/>
        <w:ind w:leftChars="0" w:hanging="873"/>
        <w:rPr>
          <w:rFonts w:eastAsia="標楷體" w:hAnsi="標楷體"/>
        </w:rPr>
      </w:pPr>
      <w:r w:rsidRPr="006621D9">
        <w:rPr>
          <w:rFonts w:eastAsia="標楷體" w:hAnsi="標楷體"/>
        </w:rPr>
        <w:t>課程內容：</w:t>
      </w:r>
      <w:r w:rsidR="00E9112B" w:rsidRPr="00571779">
        <w:rPr>
          <w:rFonts w:eastAsia="標楷體"/>
        </w:rPr>
        <w:t>乃本</w:t>
      </w:r>
      <w:r w:rsidR="00E9112B">
        <w:rPr>
          <w:rFonts w:eastAsia="標楷體" w:hint="eastAsia"/>
          <w:color w:val="000000"/>
        </w:rPr>
        <w:t>中心</w:t>
      </w:r>
      <w:r w:rsidR="00E9112B" w:rsidRPr="00571779">
        <w:rPr>
          <w:rFonts w:eastAsia="標楷體"/>
        </w:rPr>
        <w:t>用來協助學生發展出核心能力，進而達成教育目標之媒介，含「基礎通識課程」、「核心通識課程」、「分類通識課程」三類。本</w:t>
      </w:r>
      <w:r w:rsidR="00E9112B">
        <w:rPr>
          <w:rFonts w:eastAsia="標楷體" w:hint="eastAsia"/>
          <w:color w:val="000000"/>
        </w:rPr>
        <w:t>中心</w:t>
      </w:r>
      <w:r w:rsidR="00E9112B" w:rsidRPr="00571779">
        <w:rPr>
          <w:rFonts w:eastAsia="標楷體"/>
        </w:rPr>
        <w:t>需將核心能力與「基礎通識課程」、「核心通識課程」、「分類通識課程」之間的對應，以對照表或其他型式的圖表呈現。「基礎通識課程」的選擇與安排，須考量必、選修課程之比例是否合宜，以及各科目的學分數和授課時數是否適當。</w:t>
      </w:r>
    </w:p>
    <w:p w:rsidR="006621D9" w:rsidRPr="006621D9" w:rsidRDefault="006621D9" w:rsidP="004F6459">
      <w:pPr>
        <w:pStyle w:val="a3"/>
        <w:numPr>
          <w:ilvl w:val="2"/>
          <w:numId w:val="4"/>
        </w:numPr>
        <w:spacing w:line="400" w:lineRule="exact"/>
        <w:ind w:leftChars="0" w:hanging="873"/>
        <w:rPr>
          <w:rFonts w:eastAsia="標楷體" w:hAnsi="標楷體"/>
        </w:rPr>
      </w:pPr>
      <w:r w:rsidRPr="006621D9">
        <w:rPr>
          <w:rFonts w:eastAsia="標楷體" w:hAnsi="標楷體"/>
        </w:rPr>
        <w:t>課程組織架構：</w:t>
      </w:r>
      <w:r w:rsidR="001D670C" w:rsidRPr="00571779">
        <w:rPr>
          <w:rFonts w:eastAsia="標楷體"/>
        </w:rPr>
        <w:t>指必、選修課程之間的組織邏輯與結構，旨在做為安排各科目開設順序之依循。本</w:t>
      </w:r>
      <w:r w:rsidR="001D670C">
        <w:rPr>
          <w:rFonts w:eastAsia="標楷體" w:hint="eastAsia"/>
          <w:color w:val="000000"/>
        </w:rPr>
        <w:t>中心</w:t>
      </w:r>
      <w:r w:rsidR="001D670C" w:rsidRPr="00571779">
        <w:rPr>
          <w:rFonts w:eastAsia="標楷體"/>
        </w:rPr>
        <w:t>在完成必、選修課程之選擇與發展後，須依</w:t>
      </w:r>
      <w:r w:rsidR="006F2DE5">
        <w:rPr>
          <w:rFonts w:eastAsia="標楷體" w:hAnsi="標楷體"/>
        </w:rPr>
        <w:t>學科</w:t>
      </w:r>
      <w:r w:rsidR="001D670C" w:rsidRPr="00571779">
        <w:rPr>
          <w:rFonts w:eastAsia="標楷體"/>
        </w:rPr>
        <w:t>教學與學習之原理將其組織成符合邏輯的課程架構，並使其更為完善。</w:t>
      </w:r>
    </w:p>
    <w:p w:rsidR="006621D9" w:rsidRPr="006621D9" w:rsidRDefault="001D670C" w:rsidP="004F6459">
      <w:pPr>
        <w:pStyle w:val="a3"/>
        <w:numPr>
          <w:ilvl w:val="2"/>
          <w:numId w:val="4"/>
        </w:numPr>
        <w:spacing w:line="400" w:lineRule="exact"/>
        <w:ind w:leftChars="0" w:hanging="873"/>
        <w:rPr>
          <w:rFonts w:eastAsia="標楷體" w:hAnsi="標楷體"/>
        </w:rPr>
      </w:pPr>
      <w:r>
        <w:rPr>
          <w:rFonts w:eastAsia="標楷體" w:hAnsi="標楷體"/>
        </w:rPr>
        <w:t>科目開設順序：指各必、選修課程的開設順序。本中心</w:t>
      </w:r>
      <w:r w:rsidR="006621D9" w:rsidRPr="006621D9">
        <w:rPr>
          <w:rFonts w:eastAsia="標楷體" w:hAnsi="標楷體"/>
        </w:rPr>
        <w:t>在完成</w:t>
      </w:r>
      <w:r w:rsidR="00B92A1C" w:rsidRPr="00770FF1">
        <w:rPr>
          <w:rFonts w:eastAsia="標楷體" w:hAnsi="標楷體" w:hint="eastAsia"/>
        </w:rPr>
        <w:t>課程</w:t>
      </w:r>
      <w:r w:rsidR="006621D9" w:rsidRPr="006621D9">
        <w:rPr>
          <w:rFonts w:eastAsia="標楷體" w:hAnsi="標楷體"/>
        </w:rPr>
        <w:t>的組織架構後，須據以將各必、選修課程之開設安排於適當的學年和學期。</w:t>
      </w:r>
    </w:p>
    <w:p w:rsidR="006621D9" w:rsidRPr="006621D9" w:rsidRDefault="006621D9" w:rsidP="004F6459">
      <w:pPr>
        <w:pStyle w:val="a3"/>
        <w:numPr>
          <w:ilvl w:val="2"/>
          <w:numId w:val="4"/>
        </w:numPr>
        <w:spacing w:line="400" w:lineRule="exact"/>
        <w:ind w:leftChars="0" w:hanging="873"/>
        <w:rPr>
          <w:rFonts w:eastAsia="標楷體" w:hAnsi="標楷體"/>
        </w:rPr>
      </w:pPr>
      <w:r w:rsidRPr="006621D9">
        <w:rPr>
          <w:rFonts w:eastAsia="標楷體" w:hAnsi="標楷體"/>
        </w:rPr>
        <w:t>課程簡介：指各必、選修課程之簡介（或教學計畫），旨在做為授課教師撰寫教學大綱之依據。本</w:t>
      </w:r>
      <w:r w:rsidR="001D670C">
        <w:rPr>
          <w:rFonts w:eastAsia="標楷體" w:hAnsi="標楷體"/>
        </w:rPr>
        <w:t>中心</w:t>
      </w:r>
      <w:r w:rsidRPr="006621D9">
        <w:rPr>
          <w:rFonts w:eastAsia="標楷體" w:hAnsi="標楷體"/>
        </w:rPr>
        <w:t>須針對擬開設之必、選修科目撰寫課程簡介（或教學計畫），並送交課程委員會審議。其內涵，至少須包含該科目欲培養之核心能力，以及必須涉及的教學內容。此外，還可視需要陳述必須要採取的教學策略或評量方式，以使其更為完善。</w:t>
      </w:r>
    </w:p>
    <w:p w:rsidR="006621D9" w:rsidRPr="006621D9" w:rsidRDefault="006621D9" w:rsidP="004F6459">
      <w:pPr>
        <w:pStyle w:val="a3"/>
        <w:numPr>
          <w:ilvl w:val="2"/>
          <w:numId w:val="4"/>
        </w:numPr>
        <w:spacing w:line="400" w:lineRule="exact"/>
        <w:ind w:leftChars="0" w:hanging="873"/>
        <w:rPr>
          <w:rFonts w:eastAsia="標楷體" w:hAnsi="標楷體"/>
        </w:rPr>
      </w:pPr>
      <w:r w:rsidRPr="006621D9">
        <w:rPr>
          <w:rFonts w:eastAsia="標楷體" w:hAnsi="標楷體"/>
        </w:rPr>
        <w:t>教學大綱：乃各科目授課教師據以實施教學以及學生據以選擇選修課程之依據。各授課教師在安排教學大綱時，須參考課程簡介（或教學計畫），並涵蓋教學目標（即該科目欲培養之能力）、教學內容（即各周的教學進度與主題）與教材、教學方式、以及教學評量等教學要素。</w:t>
      </w:r>
    </w:p>
    <w:p w:rsidR="006621D9" w:rsidRPr="00B72AC5" w:rsidRDefault="006621D9" w:rsidP="004F6459">
      <w:pPr>
        <w:pStyle w:val="a3"/>
        <w:numPr>
          <w:ilvl w:val="2"/>
          <w:numId w:val="4"/>
        </w:numPr>
        <w:spacing w:line="400" w:lineRule="exact"/>
        <w:ind w:leftChars="0" w:hanging="873"/>
        <w:rPr>
          <w:rFonts w:eastAsia="標楷體" w:hAnsi="標楷體"/>
        </w:rPr>
      </w:pPr>
      <w:r w:rsidRPr="006621D9">
        <w:rPr>
          <w:rFonts w:eastAsia="標楷體" w:hAnsi="標楷體"/>
        </w:rPr>
        <w:t>教學品質管控與提昇：</w:t>
      </w:r>
      <w:r w:rsidRPr="006621D9">
        <w:rPr>
          <w:rFonts w:eastAsia="標楷體"/>
        </w:rPr>
        <w:t>為確實達成教育目標，</w:t>
      </w:r>
      <w:r w:rsidRPr="00B72AC5">
        <w:rPr>
          <w:rFonts w:ascii="標楷體" w:eastAsia="標楷體" w:hAnsi="標楷體"/>
        </w:rPr>
        <w:t>邀集</w:t>
      </w:r>
      <w:r w:rsidR="00AD6808">
        <w:rPr>
          <w:rFonts w:ascii="標楷體" w:eastAsia="標楷體" w:hAnsi="標楷體"/>
        </w:rPr>
        <w:t>該</w:t>
      </w:r>
      <w:r w:rsidRPr="00B72AC5">
        <w:rPr>
          <w:rFonts w:ascii="標楷體" w:eastAsia="標楷體" w:hAnsi="標楷體"/>
        </w:rPr>
        <w:t>學期擬授課之教師召開教學</w:t>
      </w:r>
      <w:r w:rsidRPr="00B72AC5">
        <w:rPr>
          <w:rFonts w:ascii="標楷體" w:eastAsia="標楷體" w:hAnsi="標楷體" w:hint="eastAsia"/>
        </w:rPr>
        <w:t>相關</w:t>
      </w:r>
      <w:r w:rsidRPr="00B72AC5">
        <w:rPr>
          <w:rFonts w:ascii="標楷體" w:eastAsia="標楷體" w:hAnsi="標楷體"/>
        </w:rPr>
        <w:t>研討會，針對彼此所撰寫之教學大綱加以檢核與調整，以避免授課內容重複或無法銜接，或是在教學目標、教學內容、教材選擇、教學方式與學習評量之安排失當的情形發生。</w:t>
      </w:r>
      <w:r w:rsidRPr="00B72AC5">
        <w:rPr>
          <w:rFonts w:ascii="標楷體" w:eastAsia="標楷體" w:hAnsi="標楷體" w:hint="eastAsia"/>
        </w:rPr>
        <w:t>本</w:t>
      </w:r>
      <w:r w:rsidR="00AD6808">
        <w:rPr>
          <w:rFonts w:ascii="標楷體" w:eastAsia="標楷體" w:hAnsi="標楷體" w:hint="eastAsia"/>
        </w:rPr>
        <w:t>中心</w:t>
      </w:r>
      <w:r w:rsidRPr="00B72AC5">
        <w:rPr>
          <w:rFonts w:ascii="標楷體" w:eastAsia="標楷體" w:hAnsi="標楷體"/>
        </w:rPr>
        <w:t>需於每學期開學一</w:t>
      </w:r>
      <w:r w:rsidRPr="00B72AC5">
        <w:rPr>
          <w:rFonts w:ascii="標楷體" w:eastAsia="標楷體" w:hAnsi="標楷體" w:hint="eastAsia"/>
        </w:rPr>
        <w:t>周</w:t>
      </w:r>
      <w:r w:rsidR="00AD6808">
        <w:rPr>
          <w:rFonts w:ascii="標楷體" w:eastAsia="標楷體" w:hAnsi="標楷體" w:hint="eastAsia"/>
        </w:rPr>
        <w:t>內</w:t>
      </w:r>
      <w:r w:rsidRPr="00B72AC5">
        <w:rPr>
          <w:rFonts w:ascii="標楷體" w:eastAsia="標楷體" w:hAnsi="標楷體" w:hint="eastAsia"/>
        </w:rPr>
        <w:t>完成課程研討</w:t>
      </w:r>
      <w:r w:rsidRPr="00B72AC5">
        <w:rPr>
          <w:rFonts w:ascii="標楷體" w:eastAsia="標楷體" w:hAnsi="標楷體"/>
        </w:rPr>
        <w:t>。</w:t>
      </w:r>
    </w:p>
    <w:p w:rsidR="006621D9" w:rsidRPr="006621D9" w:rsidRDefault="006621D9" w:rsidP="004F6459">
      <w:pPr>
        <w:pStyle w:val="a3"/>
        <w:numPr>
          <w:ilvl w:val="2"/>
          <w:numId w:val="4"/>
        </w:numPr>
        <w:spacing w:line="400" w:lineRule="exact"/>
        <w:ind w:leftChars="0" w:hanging="873"/>
        <w:rPr>
          <w:rFonts w:ascii="Times New Roman" w:eastAsia="標楷體" w:hAnsi="Times New Roman"/>
        </w:rPr>
      </w:pPr>
      <w:r w:rsidRPr="00B72AC5">
        <w:rPr>
          <w:rFonts w:ascii="Times New Roman" w:eastAsia="標楷體" w:hAnsi="Times New Roman"/>
        </w:rPr>
        <w:t>產學合作反饋課程機制：需將產學合作反饋課程</w:t>
      </w:r>
      <w:r w:rsidRPr="00B72AC5">
        <w:rPr>
          <w:rFonts w:ascii="Times New Roman" w:eastAsia="標楷體" w:hAnsi="Times New Roman" w:hint="eastAsia"/>
        </w:rPr>
        <w:t>內容</w:t>
      </w:r>
      <w:r w:rsidRPr="006621D9">
        <w:rPr>
          <w:rFonts w:ascii="Times New Roman" w:eastAsia="標楷體" w:hAnsi="Times New Roman"/>
        </w:rPr>
        <w:t>並提交課程委員會討論。</w:t>
      </w:r>
    </w:p>
    <w:p w:rsidR="006621D9" w:rsidRPr="006621D9" w:rsidRDefault="006621D9" w:rsidP="004F6459">
      <w:pPr>
        <w:pStyle w:val="a3"/>
        <w:numPr>
          <w:ilvl w:val="2"/>
          <w:numId w:val="4"/>
        </w:numPr>
        <w:tabs>
          <w:tab w:val="left" w:pos="1560"/>
        </w:tabs>
        <w:spacing w:line="400" w:lineRule="exact"/>
        <w:ind w:leftChars="0" w:hanging="873"/>
        <w:rPr>
          <w:rFonts w:ascii="Times New Roman" w:eastAsia="標楷體" w:hAnsi="Times New Roman"/>
        </w:rPr>
      </w:pPr>
      <w:r w:rsidRPr="006621D9">
        <w:rPr>
          <w:rFonts w:ascii="Times New Roman" w:eastAsia="標楷體" w:hAnsi="Times New Roman"/>
        </w:rPr>
        <w:lastRenderedPageBreak/>
        <w:t>學生選課輔導：引導</w:t>
      </w:r>
      <w:r w:rsidR="00AD6808" w:rsidRPr="00571779">
        <w:rPr>
          <w:rFonts w:eastAsia="標楷體"/>
        </w:rPr>
        <w:t>學生瞭解未來的學習與課程之間的搭配，進而有助於學生核心能力之養成。</w:t>
      </w:r>
    </w:p>
    <w:p w:rsidR="006621D9" w:rsidRDefault="006621D9" w:rsidP="004F6459">
      <w:pPr>
        <w:pStyle w:val="a3"/>
        <w:numPr>
          <w:ilvl w:val="2"/>
          <w:numId w:val="4"/>
        </w:numPr>
        <w:tabs>
          <w:tab w:val="left" w:pos="1560"/>
        </w:tabs>
        <w:spacing w:line="400" w:lineRule="exact"/>
        <w:ind w:leftChars="0" w:hanging="873"/>
        <w:rPr>
          <w:rFonts w:ascii="Times New Roman" w:eastAsia="標楷體" w:hAnsi="Times New Roman"/>
        </w:rPr>
      </w:pPr>
      <w:r w:rsidRPr="006621D9">
        <w:rPr>
          <w:rFonts w:ascii="Times New Roman" w:eastAsia="標楷體" w:hAnsi="Times New Roman"/>
        </w:rPr>
        <w:t>課程</w:t>
      </w:r>
      <w:r w:rsidRPr="00B72AC5">
        <w:rPr>
          <w:rFonts w:ascii="Times New Roman" w:eastAsia="標楷體" w:hAnsi="Times New Roman" w:hint="eastAsia"/>
        </w:rPr>
        <w:t>檢討</w:t>
      </w:r>
      <w:r w:rsidRPr="006621D9">
        <w:rPr>
          <w:rFonts w:ascii="Times New Roman" w:eastAsia="標楷體" w:hAnsi="Times New Roman"/>
        </w:rPr>
        <w:t>：</w:t>
      </w:r>
      <w:r w:rsidR="00AD6808" w:rsidRPr="00571779">
        <w:rPr>
          <w:rFonts w:eastAsia="標楷體"/>
        </w:rPr>
        <w:t>旨在針對本</w:t>
      </w:r>
      <w:r w:rsidR="00AD6808">
        <w:rPr>
          <w:rFonts w:eastAsia="標楷體" w:hint="eastAsia"/>
          <w:color w:val="000000"/>
        </w:rPr>
        <w:t>中心</w:t>
      </w:r>
      <w:r w:rsidR="00AD6808" w:rsidRPr="00571779">
        <w:rPr>
          <w:rFonts w:eastAsia="標楷體"/>
        </w:rPr>
        <w:t>所規劃的教育目標、所安排的各類課程，以及各類課程的實施情形和成效加以檢核。此項檢核，宜邀請產、官、學專家參與，且須將評估之結果回饋至課程委員會討論。</w:t>
      </w:r>
    </w:p>
    <w:p w:rsidR="00242885" w:rsidRPr="00B72AC5" w:rsidRDefault="00242885" w:rsidP="004F6459">
      <w:pPr>
        <w:pStyle w:val="a3"/>
        <w:numPr>
          <w:ilvl w:val="2"/>
          <w:numId w:val="4"/>
        </w:numPr>
        <w:tabs>
          <w:tab w:val="left" w:pos="1560"/>
        </w:tabs>
        <w:spacing w:line="400" w:lineRule="exact"/>
        <w:ind w:leftChars="0" w:hanging="873"/>
        <w:rPr>
          <w:rFonts w:ascii="Times New Roman" w:eastAsia="標楷體" w:hAnsi="Times New Roman"/>
        </w:rPr>
      </w:pPr>
      <w:r w:rsidRPr="00B72AC5">
        <w:rPr>
          <w:rFonts w:ascii="Times New Roman" w:eastAsia="標楷體" w:hAnsi="Times New Roman"/>
        </w:rPr>
        <w:t>學生教學評</w:t>
      </w:r>
      <w:r w:rsidRPr="00B72AC5">
        <w:rPr>
          <w:rFonts w:ascii="Times New Roman" w:eastAsia="標楷體" w:hAnsi="Times New Roman" w:hint="eastAsia"/>
        </w:rPr>
        <w:t>量</w:t>
      </w:r>
      <w:r w:rsidRPr="00B72AC5">
        <w:rPr>
          <w:rFonts w:ascii="Times New Roman" w:eastAsia="標楷體" w:hAnsi="Times New Roman"/>
        </w:rPr>
        <w:t>結果處理與改善機制</w:t>
      </w:r>
      <w:r w:rsidR="00753CA3">
        <w:rPr>
          <w:rFonts w:ascii="Times New Roman" w:eastAsia="標楷體" w:hAnsi="Times New Roman" w:hint="eastAsia"/>
        </w:rPr>
        <w:t>：本中心</w:t>
      </w:r>
      <w:r w:rsidRPr="00B72AC5">
        <w:rPr>
          <w:rFonts w:ascii="Times New Roman" w:eastAsia="標楷體" w:hAnsi="Times New Roman" w:hint="eastAsia"/>
        </w:rPr>
        <w:t>依本校教師教學評量與輔導實施辧法，瞭解學生對教師教學內容及方式之回饋，以管控</w:t>
      </w:r>
      <w:r w:rsidRPr="00B72AC5">
        <w:rPr>
          <w:rFonts w:ascii="Times New Roman" w:eastAsia="標楷體" w:hAnsi="Times New Roman"/>
        </w:rPr>
        <w:t>課程實施品質</w:t>
      </w:r>
      <w:r w:rsidRPr="00B72AC5">
        <w:rPr>
          <w:rFonts w:ascii="標楷體" w:eastAsia="標楷體" w:hAnsi="標楷體" w:hint="eastAsia"/>
        </w:rPr>
        <w:t>。</w:t>
      </w:r>
    </w:p>
    <w:p w:rsidR="006621D9" w:rsidRPr="007F4697" w:rsidRDefault="006621D9" w:rsidP="004F6459">
      <w:pPr>
        <w:pStyle w:val="a3"/>
        <w:numPr>
          <w:ilvl w:val="0"/>
          <w:numId w:val="2"/>
        </w:numPr>
        <w:spacing w:line="400" w:lineRule="exact"/>
        <w:ind w:leftChars="0"/>
        <w:rPr>
          <w:rFonts w:ascii="Times New Roman" w:eastAsia="標楷體" w:hAnsi="Times New Roman"/>
        </w:rPr>
      </w:pPr>
      <w:r w:rsidRPr="007F4697">
        <w:rPr>
          <w:rFonts w:ascii="Times New Roman" w:eastAsia="標楷體" w:hAnsi="Times New Roman"/>
        </w:rPr>
        <w:t>課程發展流程</w:t>
      </w:r>
      <w:r w:rsidRPr="007F4697">
        <w:rPr>
          <w:rFonts w:ascii="Times New Roman" w:hAnsi="Times New Roman"/>
        </w:rPr>
        <w:t>：</w:t>
      </w:r>
      <w:r w:rsidRPr="007F4697">
        <w:rPr>
          <w:rFonts w:ascii="Times New Roman" w:eastAsia="標楷體" w:hAnsi="Times New Roman"/>
        </w:rPr>
        <w:t>本</w:t>
      </w:r>
      <w:r w:rsidR="00753CA3">
        <w:rPr>
          <w:rFonts w:ascii="Times New Roman" w:eastAsia="標楷體" w:hAnsi="Times New Roman"/>
        </w:rPr>
        <w:t>中心</w:t>
      </w:r>
      <w:r w:rsidRPr="007F4697">
        <w:rPr>
          <w:rFonts w:ascii="Times New Roman" w:eastAsia="標楷體" w:hAnsi="Times New Roman"/>
        </w:rPr>
        <w:t>之課程發展須以循環進行分析、規劃、實施與評鑑等活動之原則進行，以發揮回饋與改善功能：</w:t>
      </w:r>
    </w:p>
    <w:p w:rsidR="006621D9" w:rsidRPr="007F4697" w:rsidRDefault="006621D9" w:rsidP="004F6459">
      <w:pPr>
        <w:pStyle w:val="a3"/>
        <w:numPr>
          <w:ilvl w:val="2"/>
          <w:numId w:val="7"/>
        </w:numPr>
        <w:spacing w:line="400" w:lineRule="exact"/>
        <w:ind w:leftChars="0" w:hanging="873"/>
        <w:rPr>
          <w:rFonts w:ascii="Times New Roman" w:eastAsia="標楷體" w:hAnsi="Times New Roman"/>
        </w:rPr>
      </w:pPr>
      <w:r w:rsidRPr="007F4697">
        <w:rPr>
          <w:rFonts w:ascii="Times New Roman" w:eastAsia="標楷體" w:hAnsi="Times New Roman"/>
        </w:rPr>
        <w:t>分析：包含教育目標</w:t>
      </w:r>
      <w:r w:rsidR="00AD6808" w:rsidRPr="00571779">
        <w:rPr>
          <w:rFonts w:eastAsia="標楷體"/>
        </w:rPr>
        <w:t>與學生需具備核心能力之分析。</w:t>
      </w:r>
    </w:p>
    <w:p w:rsidR="006621D9" w:rsidRPr="007F4697" w:rsidRDefault="006621D9" w:rsidP="004F6459">
      <w:pPr>
        <w:pStyle w:val="a3"/>
        <w:numPr>
          <w:ilvl w:val="2"/>
          <w:numId w:val="7"/>
        </w:numPr>
        <w:spacing w:line="400" w:lineRule="exact"/>
        <w:ind w:leftChars="0" w:hanging="873"/>
        <w:rPr>
          <w:rFonts w:ascii="Times New Roman" w:eastAsia="標楷體" w:hAnsi="Times New Roman"/>
        </w:rPr>
      </w:pPr>
      <w:r w:rsidRPr="007F4697">
        <w:rPr>
          <w:rFonts w:ascii="Times New Roman" w:eastAsia="標楷體" w:hAnsi="Times New Roman"/>
        </w:rPr>
        <w:t>規劃：</w:t>
      </w:r>
      <w:r w:rsidR="00AD6808" w:rsidRPr="00571779">
        <w:rPr>
          <w:rFonts w:eastAsia="標楷體"/>
        </w:rPr>
        <w:t>包含課程內容的選擇與組織、科目開設順序的訂定、教學簡介（或教學計畫）的撰寫。</w:t>
      </w:r>
    </w:p>
    <w:p w:rsidR="006621D9" w:rsidRPr="007F4697" w:rsidRDefault="006621D9" w:rsidP="004F6459">
      <w:pPr>
        <w:pStyle w:val="a3"/>
        <w:numPr>
          <w:ilvl w:val="2"/>
          <w:numId w:val="7"/>
        </w:numPr>
        <w:spacing w:line="400" w:lineRule="exact"/>
        <w:ind w:leftChars="0" w:hanging="873"/>
        <w:rPr>
          <w:rFonts w:ascii="Times New Roman" w:eastAsia="標楷體" w:hAnsi="Times New Roman"/>
        </w:rPr>
      </w:pPr>
      <w:r w:rsidRPr="007F4697">
        <w:rPr>
          <w:rFonts w:ascii="Times New Roman" w:eastAsia="標楷體" w:hAnsi="Times New Roman"/>
        </w:rPr>
        <w:t>實施：</w:t>
      </w:r>
      <w:r w:rsidR="00AD6808" w:rsidRPr="00571779">
        <w:rPr>
          <w:rFonts w:eastAsia="標楷體"/>
        </w:rPr>
        <w:t>涵蓋教學大綱的擬定、教學的進行、教學品質的管控與提昇。</w:t>
      </w:r>
    </w:p>
    <w:p w:rsidR="006621D9" w:rsidRPr="007F4697" w:rsidRDefault="006621D9" w:rsidP="004F6459">
      <w:pPr>
        <w:pStyle w:val="a3"/>
        <w:numPr>
          <w:ilvl w:val="2"/>
          <w:numId w:val="7"/>
        </w:numPr>
        <w:spacing w:line="400" w:lineRule="exact"/>
        <w:ind w:leftChars="0" w:hanging="873"/>
        <w:rPr>
          <w:rFonts w:ascii="Times New Roman" w:eastAsia="標楷體" w:hAnsi="Times New Roman"/>
        </w:rPr>
      </w:pPr>
      <w:r w:rsidRPr="007F4697">
        <w:rPr>
          <w:rFonts w:ascii="Times New Roman" w:eastAsia="標楷體" w:hAnsi="Times New Roman"/>
        </w:rPr>
        <w:t>評鑑：</w:t>
      </w:r>
      <w:r w:rsidR="00AD6808" w:rsidRPr="00571779">
        <w:rPr>
          <w:rFonts w:eastAsia="標楷體"/>
        </w:rPr>
        <w:t>涵蓋對課程發展歷程各要項的檢討與評估，主要由學群</w:t>
      </w:r>
      <w:r w:rsidR="00AC363F">
        <w:rPr>
          <w:rFonts w:eastAsia="標楷體" w:hint="eastAsia"/>
        </w:rPr>
        <w:t>(</w:t>
      </w:r>
      <w:r w:rsidR="00AC363F">
        <w:rPr>
          <w:rFonts w:eastAsia="標楷體" w:hint="eastAsia"/>
        </w:rPr>
        <w:t>門</w:t>
      </w:r>
      <w:r w:rsidR="00AC363F">
        <w:rPr>
          <w:rFonts w:eastAsia="標楷體" w:hint="eastAsia"/>
        </w:rPr>
        <w:t>)</w:t>
      </w:r>
      <w:r w:rsidR="00AD6808" w:rsidRPr="00571779">
        <w:rPr>
          <w:rFonts w:eastAsia="標楷體"/>
        </w:rPr>
        <w:t>會議、課程委員會為之。</w:t>
      </w:r>
    </w:p>
    <w:p w:rsidR="006621D9" w:rsidRPr="004F6459" w:rsidRDefault="006621D9" w:rsidP="004F6459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ascii="Times New Roman" w:eastAsia="標楷體" w:hAnsi="Times New Roman"/>
        </w:rPr>
      </w:pPr>
      <w:r w:rsidRPr="004F6459">
        <w:rPr>
          <w:rFonts w:ascii="Times New Roman" w:eastAsia="標楷體" w:hAnsi="Times New Roman"/>
        </w:rPr>
        <w:t>課程發展相關會議與實施辦法</w:t>
      </w:r>
      <w:r w:rsidRPr="004F6459">
        <w:rPr>
          <w:rFonts w:ascii="Times New Roman" w:hAnsi="Times New Roman"/>
        </w:rPr>
        <w:t>：</w:t>
      </w:r>
      <w:r w:rsidR="00AC363F">
        <w:rPr>
          <w:rFonts w:ascii="Times New Roman" w:eastAsia="標楷體" w:hAnsi="Times New Roman"/>
        </w:rPr>
        <w:t>本</w:t>
      </w:r>
      <w:r w:rsidR="00753CA3">
        <w:rPr>
          <w:rFonts w:ascii="Times New Roman" w:eastAsia="標楷體" w:hAnsi="Times New Roman"/>
        </w:rPr>
        <w:t>中心</w:t>
      </w:r>
      <w:r w:rsidRPr="004F6459">
        <w:rPr>
          <w:rFonts w:ascii="Times New Roman" w:eastAsia="標楷體" w:hAnsi="Times New Roman"/>
        </w:rPr>
        <w:t>須召開如下會議並訂定相關實施辦法與機制，以有助於課程的發展、實施與改善：</w:t>
      </w:r>
    </w:p>
    <w:p w:rsidR="006621D9" w:rsidRPr="00AC363F" w:rsidRDefault="006621D9" w:rsidP="004F6459">
      <w:pPr>
        <w:pStyle w:val="a3"/>
        <w:numPr>
          <w:ilvl w:val="2"/>
          <w:numId w:val="10"/>
        </w:numPr>
        <w:snapToGrid w:val="0"/>
        <w:spacing w:line="400" w:lineRule="exact"/>
        <w:ind w:leftChars="0" w:hanging="873"/>
        <w:rPr>
          <w:rFonts w:ascii="Times New Roman" w:eastAsia="標楷體" w:hAnsi="Times New Roman"/>
          <w:dstrike/>
        </w:rPr>
      </w:pPr>
      <w:r w:rsidRPr="004F6459">
        <w:rPr>
          <w:rFonts w:ascii="Times New Roman" w:eastAsia="標楷體" w:hAnsi="Times New Roman"/>
        </w:rPr>
        <w:t>課程委員會：</w:t>
      </w:r>
      <w:r w:rsidR="00AC363F" w:rsidRPr="00571779">
        <w:rPr>
          <w:rFonts w:eastAsia="標楷體"/>
        </w:rPr>
        <w:t>本</w:t>
      </w:r>
      <w:r w:rsidR="00AC363F">
        <w:rPr>
          <w:rFonts w:eastAsia="標楷體" w:hint="eastAsia"/>
          <w:color w:val="000000"/>
        </w:rPr>
        <w:t>中心</w:t>
      </w:r>
      <w:r w:rsidR="00AC363F">
        <w:rPr>
          <w:rFonts w:eastAsia="標楷體"/>
        </w:rPr>
        <w:t>每學年需定期透過</w:t>
      </w:r>
      <w:r w:rsidR="00AC363F">
        <w:rPr>
          <w:rFonts w:eastAsia="標楷體" w:hint="eastAsia"/>
        </w:rPr>
        <w:t>中心</w:t>
      </w:r>
      <w:r w:rsidR="00AC363F" w:rsidRPr="00571779">
        <w:rPr>
          <w:rFonts w:eastAsia="標楷體"/>
        </w:rPr>
        <w:t>課程委員會檢討課程的規劃，並視需要加以修訂。其人員之組成、召集、運作方式、開會時間與頻率、課程規劃等相關事項，須訂於本</w:t>
      </w:r>
      <w:r w:rsidR="00AC363F">
        <w:rPr>
          <w:rFonts w:eastAsia="標楷體" w:hint="eastAsia"/>
          <w:color w:val="000000"/>
        </w:rPr>
        <w:t>中心</w:t>
      </w:r>
      <w:r w:rsidR="00AC363F" w:rsidRPr="00571779">
        <w:rPr>
          <w:rFonts w:eastAsia="標楷體"/>
        </w:rPr>
        <w:t>「</w:t>
      </w:r>
      <w:r w:rsidR="00AC363F">
        <w:rPr>
          <w:rFonts w:eastAsia="標楷體" w:hint="eastAsia"/>
          <w:color w:val="000000"/>
        </w:rPr>
        <w:t>中心</w:t>
      </w:r>
      <w:r w:rsidR="00AC363F" w:rsidRPr="00571779">
        <w:rPr>
          <w:rFonts w:eastAsia="標楷體"/>
        </w:rPr>
        <w:t>課程委員會</w:t>
      </w:r>
      <w:r w:rsidR="00AC363F">
        <w:rPr>
          <w:rFonts w:eastAsia="標楷體"/>
        </w:rPr>
        <w:t>設置辦法」與「通識教育課程規劃暨開課辦法」，並經本</w:t>
      </w:r>
      <w:r w:rsidR="00AC363F">
        <w:rPr>
          <w:rFonts w:eastAsia="標楷體" w:hint="eastAsia"/>
          <w:color w:val="000000"/>
        </w:rPr>
        <w:t>中心中心</w:t>
      </w:r>
      <w:r w:rsidR="00AC363F">
        <w:rPr>
          <w:rFonts w:eastAsia="標楷體"/>
        </w:rPr>
        <w:t>會議</w:t>
      </w:r>
      <w:r w:rsidR="00AC363F" w:rsidRPr="00571779">
        <w:rPr>
          <w:rFonts w:eastAsia="標楷體"/>
        </w:rPr>
        <w:t>通過後實施。</w:t>
      </w:r>
    </w:p>
    <w:p w:rsidR="00AC363F" w:rsidRPr="00B72AC5" w:rsidRDefault="00AC363F" w:rsidP="004F6459">
      <w:pPr>
        <w:pStyle w:val="a3"/>
        <w:numPr>
          <w:ilvl w:val="2"/>
          <w:numId w:val="10"/>
        </w:numPr>
        <w:snapToGrid w:val="0"/>
        <w:spacing w:line="400" w:lineRule="exact"/>
        <w:ind w:leftChars="0" w:hanging="873"/>
        <w:rPr>
          <w:rFonts w:ascii="Times New Roman" w:eastAsia="標楷體" w:hAnsi="Times New Roman"/>
          <w:dstrike/>
        </w:rPr>
      </w:pPr>
      <w:r w:rsidRPr="00571779">
        <w:rPr>
          <w:rFonts w:eastAsia="標楷體"/>
        </w:rPr>
        <w:t>學群會議：本</w:t>
      </w:r>
      <w:r>
        <w:rPr>
          <w:rFonts w:eastAsia="標楷體" w:hint="eastAsia"/>
          <w:color w:val="000000"/>
        </w:rPr>
        <w:t>中心</w:t>
      </w:r>
      <w:r w:rsidR="00190151">
        <w:rPr>
          <w:rFonts w:eastAsia="標楷體"/>
        </w:rPr>
        <w:t>每學期須定期透過各學群開會檢討體育</w:t>
      </w:r>
      <w:r w:rsidRPr="00571779">
        <w:rPr>
          <w:rFonts w:eastAsia="標楷體"/>
        </w:rPr>
        <w:t>科目授課內容規劃與實施情形，以作為授課教師修訂教學大綱與教學方式之參考。</w:t>
      </w:r>
      <w:bookmarkStart w:id="0" w:name="_GoBack"/>
      <w:bookmarkEnd w:id="0"/>
    </w:p>
    <w:p w:rsidR="006621D9" w:rsidRPr="004F6459" w:rsidRDefault="00AC363F" w:rsidP="004F6459">
      <w:pPr>
        <w:pStyle w:val="a3"/>
        <w:numPr>
          <w:ilvl w:val="0"/>
          <w:numId w:val="2"/>
        </w:numPr>
        <w:snapToGrid w:val="0"/>
        <w:ind w:leftChars="0" w:hanging="624"/>
        <w:rPr>
          <w:rFonts w:eastAsia="標楷體"/>
        </w:rPr>
      </w:pPr>
      <w:r>
        <w:rPr>
          <w:rFonts w:ascii="Times New Roman" w:eastAsia="標楷體" w:hAnsi="Times New Roman"/>
        </w:rPr>
        <w:t>本作業經本中心中心</w:t>
      </w:r>
      <w:r w:rsidR="006621D9" w:rsidRPr="004F6459">
        <w:rPr>
          <w:rFonts w:ascii="Times New Roman" w:eastAsia="標楷體" w:hAnsi="Times New Roman"/>
        </w:rPr>
        <w:t>會議通過後</w:t>
      </w:r>
      <w:r w:rsidR="006621D9" w:rsidRPr="004F6459">
        <w:rPr>
          <w:rFonts w:eastAsia="標楷體" w:hAnsi="標楷體"/>
        </w:rPr>
        <w:t>實施，修訂時亦同。</w:t>
      </w:r>
    </w:p>
    <w:p w:rsidR="003E4EC2" w:rsidRPr="00AC363F" w:rsidRDefault="003E4EC2"/>
    <w:sectPr w:rsidR="003E4EC2" w:rsidRPr="00AC363F" w:rsidSect="006621D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FE2" w:rsidRDefault="00984FE2" w:rsidP="0006455F">
      <w:r>
        <w:separator/>
      </w:r>
    </w:p>
  </w:endnote>
  <w:endnote w:type="continuationSeparator" w:id="0">
    <w:p w:rsidR="00984FE2" w:rsidRDefault="00984FE2" w:rsidP="0006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(P)">
    <w:panose1 w:val="03000900000000000000"/>
    <w:charset w:val="88"/>
    <w:family w:val="script"/>
    <w:pitch w:val="variable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FE2" w:rsidRDefault="00984FE2" w:rsidP="0006455F">
      <w:r>
        <w:separator/>
      </w:r>
    </w:p>
  </w:footnote>
  <w:footnote w:type="continuationSeparator" w:id="0">
    <w:p w:rsidR="00984FE2" w:rsidRDefault="00984FE2" w:rsidP="0006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5DB"/>
    <w:multiLevelType w:val="hybridMultilevel"/>
    <w:tmpl w:val="4FB4FC9C"/>
    <w:lvl w:ilvl="0" w:tplc="9F96CA4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0D2C45"/>
    <w:multiLevelType w:val="hybridMultilevel"/>
    <w:tmpl w:val="01625C5E"/>
    <w:lvl w:ilvl="0" w:tplc="04090015">
      <w:start w:val="1"/>
      <w:numFmt w:val="taiwaneseCountingThousand"/>
      <w:lvlText w:val="%1、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" w15:restartNumberingAfterBreak="0">
    <w:nsid w:val="2BFA4CF7"/>
    <w:multiLevelType w:val="hybridMultilevel"/>
    <w:tmpl w:val="DFE292EC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3B9A3FAC"/>
    <w:multiLevelType w:val="hybridMultilevel"/>
    <w:tmpl w:val="D14864C2"/>
    <w:lvl w:ilvl="0" w:tplc="04090015">
      <w:start w:val="1"/>
      <w:numFmt w:val="taiwaneseCountingThousand"/>
      <w:lvlText w:val="%1、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4" w15:restartNumberingAfterBreak="0">
    <w:nsid w:val="4F32644A"/>
    <w:multiLevelType w:val="hybridMultilevel"/>
    <w:tmpl w:val="B896C934"/>
    <w:lvl w:ilvl="0" w:tplc="04090015">
      <w:start w:val="1"/>
      <w:numFmt w:val="taiwaneseCountingThousand"/>
      <w:lvlText w:val="%1、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5" w15:restartNumberingAfterBreak="0">
    <w:nsid w:val="58A3256F"/>
    <w:multiLevelType w:val="hybridMultilevel"/>
    <w:tmpl w:val="B9BE47E4"/>
    <w:lvl w:ilvl="0" w:tplc="9F96CA4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8A36E0"/>
    <w:multiLevelType w:val="hybridMultilevel"/>
    <w:tmpl w:val="CC9C1890"/>
    <w:lvl w:ilvl="0" w:tplc="9F96CA4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9F96CA48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216F28"/>
    <w:multiLevelType w:val="hybridMultilevel"/>
    <w:tmpl w:val="300C8C0E"/>
    <w:lvl w:ilvl="0" w:tplc="9F96CA4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9F96CA48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6B704D"/>
    <w:multiLevelType w:val="hybridMultilevel"/>
    <w:tmpl w:val="1C6A655A"/>
    <w:lvl w:ilvl="0" w:tplc="9F96CA4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666736"/>
    <w:multiLevelType w:val="hybridMultilevel"/>
    <w:tmpl w:val="D2E64E92"/>
    <w:lvl w:ilvl="0" w:tplc="9F96CA4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86D8792A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  <w:d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DB348C"/>
    <w:multiLevelType w:val="hybridMultilevel"/>
    <w:tmpl w:val="45E02382"/>
    <w:lvl w:ilvl="0" w:tplc="04090013">
      <w:start w:val="1"/>
      <w:numFmt w:val="upperRoman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D9"/>
    <w:rsid w:val="0006455F"/>
    <w:rsid w:val="001044B3"/>
    <w:rsid w:val="00176361"/>
    <w:rsid w:val="00190151"/>
    <w:rsid w:val="001D670C"/>
    <w:rsid w:val="00242885"/>
    <w:rsid w:val="003E4EC2"/>
    <w:rsid w:val="00421916"/>
    <w:rsid w:val="004B7C82"/>
    <w:rsid w:val="004F6459"/>
    <w:rsid w:val="004F6F43"/>
    <w:rsid w:val="004F7CE0"/>
    <w:rsid w:val="005A282A"/>
    <w:rsid w:val="00621EB5"/>
    <w:rsid w:val="006338A0"/>
    <w:rsid w:val="006621D9"/>
    <w:rsid w:val="006F2DE5"/>
    <w:rsid w:val="00753CA3"/>
    <w:rsid w:val="00770FF1"/>
    <w:rsid w:val="00771888"/>
    <w:rsid w:val="007F4697"/>
    <w:rsid w:val="008521C7"/>
    <w:rsid w:val="00887EC5"/>
    <w:rsid w:val="00895092"/>
    <w:rsid w:val="008B19B1"/>
    <w:rsid w:val="00957401"/>
    <w:rsid w:val="00984FE2"/>
    <w:rsid w:val="0099374D"/>
    <w:rsid w:val="00A56610"/>
    <w:rsid w:val="00AC363F"/>
    <w:rsid w:val="00AD6808"/>
    <w:rsid w:val="00B524AD"/>
    <w:rsid w:val="00B72AC5"/>
    <w:rsid w:val="00B86CE5"/>
    <w:rsid w:val="00B92A1C"/>
    <w:rsid w:val="00D37B4B"/>
    <w:rsid w:val="00DC4506"/>
    <w:rsid w:val="00E17BC8"/>
    <w:rsid w:val="00E34E46"/>
    <w:rsid w:val="00E9112B"/>
    <w:rsid w:val="00FB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0440C"/>
  <w15:chartTrackingRefBased/>
  <w15:docId w15:val="{7EBFB409-ABAA-4519-A1D0-04A43038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1D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1D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64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455F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4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455F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4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4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2023-08-16T02:36:00Z</cp:lastPrinted>
  <dcterms:created xsi:type="dcterms:W3CDTF">2023-09-22T05:45:00Z</dcterms:created>
  <dcterms:modified xsi:type="dcterms:W3CDTF">2023-09-27T03:34:00Z</dcterms:modified>
</cp:coreProperties>
</file>